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C440" w14:textId="425D9DC0" w:rsidR="0088155F" w:rsidRDefault="00032C44" w:rsidP="0088155F">
      <w:pPr>
        <w:pStyle w:val="Title"/>
        <w:spacing w:after="0"/>
      </w:pPr>
      <w:r w:rsidRPr="00987623">
        <w:t xml:space="preserve">MACPAQ Film Review Program </w:t>
      </w:r>
    </w:p>
    <w:p w14:paraId="544991ED" w14:textId="2CD6F946" w:rsidR="00032C44" w:rsidRPr="00987623" w:rsidRDefault="00032C44" w:rsidP="0088155F">
      <w:pPr>
        <w:pStyle w:val="Title"/>
        <w:spacing w:after="0"/>
      </w:pPr>
      <w:r w:rsidRPr="00987623">
        <w:t>Participant Fact Sheet</w:t>
      </w:r>
    </w:p>
    <w:p w14:paraId="69AAB0B2" w14:textId="6CC9A6D2" w:rsidR="00032C44" w:rsidRDefault="00032C44" w:rsidP="00032C44">
      <w:r w:rsidRPr="00987623">
        <w:rPr>
          <w:b/>
          <w:bCs/>
        </w:rPr>
        <w:t>Virginia Cardiac Services Quality Initiative (VCSQI)</w:t>
      </w:r>
      <w:r w:rsidRPr="00987623">
        <w:br/>
      </w:r>
      <w:r w:rsidRPr="00987623">
        <w:rPr>
          <w:i/>
          <w:iCs/>
        </w:rPr>
        <w:t>In partnership with Johns Hopkins University &amp; University of Maryland</w:t>
      </w:r>
    </w:p>
    <w:p w14:paraId="736DFDFE" w14:textId="72ACC912" w:rsidR="00987623" w:rsidRPr="00032C44" w:rsidRDefault="00987623" w:rsidP="00032C44">
      <w:pPr>
        <w:pStyle w:val="Heading1"/>
      </w:pPr>
      <w:r w:rsidRPr="00032C44">
        <w:t>What is MACPAQ?</w:t>
      </w:r>
    </w:p>
    <w:p w14:paraId="37EA423E" w14:textId="77777777" w:rsidR="00032C44" w:rsidRPr="00987623" w:rsidRDefault="00032C44" w:rsidP="00032C44">
      <w:pPr>
        <w:spacing w:after="0" w:line="240" w:lineRule="auto"/>
      </w:pPr>
      <w:r w:rsidRPr="00987623">
        <w:t>MACPAQ (Maryland Assuring Quality in PCI) is a peer-review initiative led by Johns Hopkins and the University of Maryland. The goal: improve the quality, appropriateness, and safety of percutaneous coronary interventions (PCI) across participating hospitals through expert, blinded film reviews.</w:t>
      </w:r>
    </w:p>
    <w:p w14:paraId="28339A73" w14:textId="77777777" w:rsidR="00987623" w:rsidRPr="00987623" w:rsidRDefault="00987623" w:rsidP="00032C44">
      <w:pPr>
        <w:spacing w:after="0" w:line="240" w:lineRule="auto"/>
      </w:pPr>
      <w:r w:rsidRPr="00987623">
        <w:pict w14:anchorId="49340746">
          <v:rect id="_x0000_i1163" style="width:0;height:1.5pt" o:hralign="center" o:hrstd="t" o:hr="t" fillcolor="#a0a0a0" stroked="f"/>
        </w:pict>
      </w:r>
    </w:p>
    <w:p w14:paraId="5EB8F927" w14:textId="77777777" w:rsidR="00987623" w:rsidRPr="00987623" w:rsidRDefault="00987623" w:rsidP="00032C44">
      <w:pPr>
        <w:pStyle w:val="Heading2"/>
      </w:pPr>
      <w:proofErr w:type="gramStart"/>
      <w:r w:rsidRPr="00987623">
        <w:t>Program</w:t>
      </w:r>
      <w:proofErr w:type="gramEnd"/>
      <w:r w:rsidRPr="00987623">
        <w:t xml:space="preserve"> Purpose</w:t>
      </w:r>
    </w:p>
    <w:p w14:paraId="793B4307" w14:textId="77777777" w:rsidR="00987623" w:rsidRPr="00987623" w:rsidRDefault="00987623" w:rsidP="00032C44">
      <w:pPr>
        <w:numPr>
          <w:ilvl w:val="0"/>
          <w:numId w:val="6"/>
        </w:numPr>
        <w:spacing w:after="0" w:line="240" w:lineRule="auto"/>
      </w:pPr>
      <w:r w:rsidRPr="00987623">
        <w:t>Ensure appropriateness, accuracy, and consistency in PCI services</w:t>
      </w:r>
    </w:p>
    <w:p w14:paraId="71875907" w14:textId="77777777" w:rsidR="00987623" w:rsidRPr="00987623" w:rsidRDefault="00987623" w:rsidP="00032C44">
      <w:pPr>
        <w:numPr>
          <w:ilvl w:val="0"/>
          <w:numId w:val="6"/>
        </w:numPr>
        <w:spacing w:after="0" w:line="240" w:lineRule="auto"/>
      </w:pPr>
      <w:r w:rsidRPr="00987623">
        <w:t>Offer independent, non-punitive feedback to support internal quality improvement</w:t>
      </w:r>
    </w:p>
    <w:p w14:paraId="706F5A8D" w14:textId="77777777" w:rsidR="00987623" w:rsidRPr="00987623" w:rsidRDefault="00987623" w:rsidP="00032C44">
      <w:pPr>
        <w:numPr>
          <w:ilvl w:val="0"/>
          <w:numId w:val="6"/>
        </w:numPr>
        <w:spacing w:after="0" w:line="240" w:lineRule="auto"/>
      </w:pPr>
      <w:r w:rsidRPr="00987623">
        <w:t>Promote peer learning and clinical accountability</w:t>
      </w:r>
    </w:p>
    <w:p w14:paraId="7AF1BA8C" w14:textId="77777777" w:rsidR="00987623" w:rsidRPr="00987623" w:rsidRDefault="00987623" w:rsidP="00032C44">
      <w:pPr>
        <w:spacing w:after="0" w:line="240" w:lineRule="auto"/>
      </w:pPr>
      <w:r w:rsidRPr="00987623">
        <w:pict w14:anchorId="6C07F0F4">
          <v:rect id="_x0000_i1164" style="width:0;height:1.5pt" o:hralign="center" o:hrstd="t" o:hr="t" fillcolor="#a0a0a0" stroked="f"/>
        </w:pict>
      </w:r>
    </w:p>
    <w:p w14:paraId="5F25D551" w14:textId="77777777" w:rsidR="00032C44" w:rsidRPr="00987623" w:rsidRDefault="00032C44" w:rsidP="00032C44">
      <w:pPr>
        <w:pStyle w:val="Heading2"/>
      </w:pPr>
      <w:r w:rsidRPr="00987623">
        <w:t>Program Workflow</w:t>
      </w:r>
    </w:p>
    <w:p w14:paraId="49756801" w14:textId="77777777" w:rsidR="00032C44" w:rsidRPr="00987623" w:rsidRDefault="00032C44" w:rsidP="00032C44">
      <w:pPr>
        <w:numPr>
          <w:ilvl w:val="0"/>
          <w:numId w:val="7"/>
        </w:numPr>
        <w:spacing w:after="0" w:line="240" w:lineRule="auto"/>
      </w:pPr>
      <w:r w:rsidRPr="00987623">
        <w:t>VCSQI provides a random list of elective PCI cases from your center.</w:t>
      </w:r>
    </w:p>
    <w:p w14:paraId="3823D790" w14:textId="77777777" w:rsidR="00032C44" w:rsidRPr="00987623" w:rsidRDefault="00032C44" w:rsidP="00032C44">
      <w:pPr>
        <w:numPr>
          <w:ilvl w:val="0"/>
          <w:numId w:val="7"/>
        </w:numPr>
        <w:spacing w:after="0" w:line="240" w:lineRule="auto"/>
      </w:pPr>
      <w:r w:rsidRPr="00987623">
        <w:t>Your team uploads the corresponding angiographic films to a secure portal.</w:t>
      </w:r>
    </w:p>
    <w:p w14:paraId="52118A0D" w14:textId="77777777" w:rsidR="00032C44" w:rsidRPr="00987623" w:rsidRDefault="00032C44" w:rsidP="00032C44">
      <w:pPr>
        <w:numPr>
          <w:ilvl w:val="0"/>
          <w:numId w:val="7"/>
        </w:numPr>
        <w:spacing w:after="0" w:line="240" w:lineRule="auto"/>
      </w:pPr>
      <w:r w:rsidRPr="00987623">
        <w:t>MACPAQ reviewers independently assess each case for:</w:t>
      </w:r>
    </w:p>
    <w:p w14:paraId="05E9ED4B" w14:textId="77777777" w:rsidR="00032C44" w:rsidRPr="00987623" w:rsidRDefault="00032C44" w:rsidP="00032C44">
      <w:pPr>
        <w:numPr>
          <w:ilvl w:val="1"/>
          <w:numId w:val="7"/>
        </w:numPr>
        <w:spacing w:after="0" w:line="240" w:lineRule="auto"/>
      </w:pPr>
      <w:r w:rsidRPr="00987623">
        <w:t>Procedural appropriateness</w:t>
      </w:r>
    </w:p>
    <w:p w14:paraId="7A40FE2E" w14:textId="77777777" w:rsidR="00032C44" w:rsidRPr="00987623" w:rsidRDefault="00032C44" w:rsidP="00032C44">
      <w:pPr>
        <w:numPr>
          <w:ilvl w:val="1"/>
          <w:numId w:val="7"/>
        </w:numPr>
        <w:spacing w:after="0" w:line="240" w:lineRule="auto"/>
      </w:pPr>
      <w:r w:rsidRPr="00987623">
        <w:t>Technical performance</w:t>
      </w:r>
    </w:p>
    <w:p w14:paraId="2A6423CC" w14:textId="77777777" w:rsidR="00032C44" w:rsidRPr="00987623" w:rsidRDefault="00032C44" w:rsidP="00032C44">
      <w:pPr>
        <w:numPr>
          <w:ilvl w:val="1"/>
          <w:numId w:val="7"/>
        </w:numPr>
        <w:spacing w:after="0" w:line="240" w:lineRule="auto"/>
      </w:pPr>
      <w:r w:rsidRPr="00987623">
        <w:t>Stenosis severity</w:t>
      </w:r>
    </w:p>
    <w:p w14:paraId="7A9C7D53" w14:textId="77777777" w:rsidR="00032C44" w:rsidRPr="00987623" w:rsidRDefault="00032C44" w:rsidP="00032C44">
      <w:pPr>
        <w:numPr>
          <w:ilvl w:val="0"/>
          <w:numId w:val="7"/>
        </w:numPr>
        <w:spacing w:after="0" w:line="240" w:lineRule="auto"/>
      </w:pPr>
      <w:r w:rsidRPr="00987623">
        <w:t>MACPAQ sends the results back to VCSQI, which prepares:</w:t>
      </w:r>
    </w:p>
    <w:p w14:paraId="6080D1DC" w14:textId="77777777" w:rsidR="00032C44" w:rsidRPr="00987623" w:rsidRDefault="00032C44" w:rsidP="00032C44">
      <w:pPr>
        <w:numPr>
          <w:ilvl w:val="1"/>
          <w:numId w:val="7"/>
        </w:numPr>
        <w:spacing w:after="0" w:line="240" w:lineRule="auto"/>
      </w:pPr>
      <w:r w:rsidRPr="00987623">
        <w:t>Case-specific comments</w:t>
      </w:r>
    </w:p>
    <w:p w14:paraId="68F0D807" w14:textId="002692A4" w:rsidR="00032C44" w:rsidRPr="00987623" w:rsidRDefault="00032C44" w:rsidP="00032C44">
      <w:pPr>
        <w:numPr>
          <w:ilvl w:val="1"/>
          <w:numId w:val="7"/>
        </w:numPr>
        <w:spacing w:after="0" w:line="240" w:lineRule="auto"/>
      </w:pPr>
      <w:r w:rsidRPr="00987623">
        <w:t>Aggregate reports with trends, outliers, and commendable practices</w:t>
      </w:r>
    </w:p>
    <w:p w14:paraId="2DCBE863" w14:textId="77777777" w:rsidR="00987623" w:rsidRPr="00987623" w:rsidRDefault="00987623" w:rsidP="00032C44">
      <w:pPr>
        <w:spacing w:after="0" w:line="240" w:lineRule="auto"/>
      </w:pPr>
      <w:r w:rsidRPr="00987623">
        <w:pict w14:anchorId="07B3A965">
          <v:rect id="_x0000_i1165" style="width:0;height:1.5pt" o:hralign="center" o:hrstd="t" o:hr="t" fillcolor="#a0a0a0" stroked="f"/>
        </w:pict>
      </w:r>
    </w:p>
    <w:p w14:paraId="029EF70F" w14:textId="77777777" w:rsidR="00987623" w:rsidRPr="00987623" w:rsidRDefault="00987623" w:rsidP="00032C44">
      <w:pPr>
        <w:pStyle w:val="Heading2"/>
      </w:pPr>
      <w:r w:rsidRPr="00987623">
        <w:t>Focus of the Review</w:t>
      </w:r>
    </w:p>
    <w:p w14:paraId="2778ACCE" w14:textId="77777777" w:rsidR="00987623" w:rsidRPr="00987623" w:rsidRDefault="00987623" w:rsidP="00032C44">
      <w:pPr>
        <w:numPr>
          <w:ilvl w:val="0"/>
          <w:numId w:val="8"/>
        </w:numPr>
        <w:spacing w:after="0" w:line="240" w:lineRule="auto"/>
      </w:pPr>
      <w:r w:rsidRPr="00987623">
        <w:t>No additional documentation required — films only</w:t>
      </w:r>
    </w:p>
    <w:p w14:paraId="5B8A10B6" w14:textId="77777777" w:rsidR="00987623" w:rsidRPr="00987623" w:rsidRDefault="00987623" w:rsidP="00032C44">
      <w:pPr>
        <w:numPr>
          <w:ilvl w:val="0"/>
          <w:numId w:val="8"/>
        </w:numPr>
        <w:spacing w:after="0" w:line="240" w:lineRule="auto"/>
      </w:pPr>
      <w:r w:rsidRPr="00987623">
        <w:t>Review criteria based on:</w:t>
      </w:r>
    </w:p>
    <w:p w14:paraId="5AAFF799" w14:textId="77777777" w:rsidR="00987623" w:rsidRPr="00987623" w:rsidRDefault="00987623" w:rsidP="00032C44">
      <w:pPr>
        <w:numPr>
          <w:ilvl w:val="1"/>
          <w:numId w:val="8"/>
        </w:numPr>
        <w:spacing w:after="0" w:line="240" w:lineRule="auto"/>
      </w:pPr>
      <w:r w:rsidRPr="00987623">
        <w:t>ACC/AHA Guidelines</w:t>
      </w:r>
    </w:p>
    <w:p w14:paraId="2BBA8E7C" w14:textId="77777777" w:rsidR="00987623" w:rsidRPr="00987623" w:rsidRDefault="00987623" w:rsidP="00032C44">
      <w:pPr>
        <w:numPr>
          <w:ilvl w:val="1"/>
          <w:numId w:val="8"/>
        </w:numPr>
        <w:spacing w:after="0" w:line="240" w:lineRule="auto"/>
      </w:pPr>
      <w:r w:rsidRPr="00987623">
        <w:t>Standard clinical practice</w:t>
      </w:r>
    </w:p>
    <w:p w14:paraId="2EF90616" w14:textId="77777777" w:rsidR="00987623" w:rsidRPr="00987623" w:rsidRDefault="00987623" w:rsidP="00032C44">
      <w:pPr>
        <w:numPr>
          <w:ilvl w:val="1"/>
          <w:numId w:val="8"/>
        </w:numPr>
        <w:spacing w:after="0" w:line="240" w:lineRule="auto"/>
      </w:pPr>
      <w:r w:rsidRPr="00987623">
        <w:t>Angiographic stenosis severity</w:t>
      </w:r>
    </w:p>
    <w:p w14:paraId="226B4812" w14:textId="77777777" w:rsidR="00987623" w:rsidRPr="00987623" w:rsidRDefault="00987623" w:rsidP="00032C44">
      <w:pPr>
        <w:numPr>
          <w:ilvl w:val="0"/>
          <w:numId w:val="8"/>
        </w:numPr>
        <w:spacing w:after="0" w:line="240" w:lineRule="auto"/>
      </w:pPr>
      <w:r w:rsidRPr="00987623">
        <w:t>Evaluation of appropriateness, technique, and documentation accuracy</w:t>
      </w:r>
    </w:p>
    <w:p w14:paraId="2CB9AF48" w14:textId="77777777" w:rsidR="00987623" w:rsidRPr="00987623" w:rsidRDefault="00987623" w:rsidP="00032C44">
      <w:pPr>
        <w:pStyle w:val="Heading2"/>
      </w:pPr>
      <w:r w:rsidRPr="00987623">
        <w:t>Key Benefits</w:t>
      </w:r>
    </w:p>
    <w:p w14:paraId="6A8616EC" w14:textId="038756AC" w:rsidR="00987623" w:rsidRPr="00987623" w:rsidRDefault="00987623" w:rsidP="00032C44">
      <w:pPr>
        <w:numPr>
          <w:ilvl w:val="0"/>
          <w:numId w:val="9"/>
        </w:numPr>
        <w:spacing w:after="0" w:line="240" w:lineRule="auto"/>
      </w:pPr>
      <w:r w:rsidRPr="00987623">
        <w:t>Non-punitive learning tool – ideal for M&amp;M, peer review, and quality improvement meetings</w:t>
      </w:r>
    </w:p>
    <w:p w14:paraId="352A5DA9" w14:textId="0818C796" w:rsidR="00987623" w:rsidRPr="00987623" w:rsidRDefault="00987623" w:rsidP="00032C44">
      <w:pPr>
        <w:numPr>
          <w:ilvl w:val="0"/>
          <w:numId w:val="9"/>
        </w:numPr>
        <w:spacing w:after="0" w:line="240" w:lineRule="auto"/>
      </w:pPr>
      <w:r w:rsidRPr="00987623">
        <w:t>Confidential – results are not shared with any third-party organizations</w:t>
      </w:r>
    </w:p>
    <w:p w14:paraId="3557F4E3" w14:textId="4EBBD721" w:rsidR="00987623" w:rsidRPr="00987623" w:rsidRDefault="00987623" w:rsidP="00032C44">
      <w:pPr>
        <w:numPr>
          <w:ilvl w:val="0"/>
          <w:numId w:val="9"/>
        </w:numPr>
        <w:spacing w:after="0" w:line="240" w:lineRule="auto"/>
      </w:pPr>
      <w:r w:rsidRPr="00987623">
        <w:t>Drives internal improvement and helps identify variation in practice</w:t>
      </w:r>
    </w:p>
    <w:p w14:paraId="4A7FBBF3" w14:textId="77777777" w:rsidR="00987623" w:rsidRPr="00987623" w:rsidRDefault="00987623" w:rsidP="00032C44">
      <w:pPr>
        <w:spacing w:after="0" w:line="240" w:lineRule="auto"/>
      </w:pPr>
      <w:r w:rsidRPr="00987623">
        <w:pict w14:anchorId="5C6CB66E">
          <v:rect id="_x0000_i1167" style="width:0;height:1.5pt" o:hralign="center" o:hrstd="t" o:hr="t" fillcolor="#a0a0a0" stroked="f"/>
        </w:pict>
      </w:r>
    </w:p>
    <w:p w14:paraId="59E00C58" w14:textId="4B70D42F" w:rsidR="00987623" w:rsidRPr="00987623" w:rsidRDefault="00987623" w:rsidP="00032C44">
      <w:pPr>
        <w:pStyle w:val="Heading2"/>
      </w:pPr>
      <w:r w:rsidRPr="00987623">
        <w:t>What the Data Shows</w:t>
      </w:r>
    </w:p>
    <w:p w14:paraId="03467326" w14:textId="77777777" w:rsidR="00987623" w:rsidRPr="00987623" w:rsidRDefault="00987623" w:rsidP="00032C44">
      <w:pPr>
        <w:spacing w:after="0" w:line="240" w:lineRule="auto"/>
      </w:pPr>
      <w:r w:rsidRPr="00987623">
        <w:t>From recent MACPAQ reviews of Virginia centers:</w:t>
      </w:r>
    </w:p>
    <w:p w14:paraId="40BC30DA" w14:textId="1ACC1A21" w:rsidR="00987623" w:rsidRPr="00987623" w:rsidRDefault="00987623" w:rsidP="00032C44">
      <w:pPr>
        <w:numPr>
          <w:ilvl w:val="0"/>
          <w:numId w:val="12"/>
        </w:numPr>
        <w:spacing w:after="0" w:line="240" w:lineRule="auto"/>
      </w:pPr>
      <w:r w:rsidRPr="00987623">
        <w:t>100% of cases reviewed were found “Appropriate” per ACC/AHA PCI guidelines.</w:t>
      </w:r>
    </w:p>
    <w:p w14:paraId="0EAAEFF2" w14:textId="2FD6B220" w:rsidR="00987623" w:rsidRPr="00987623" w:rsidRDefault="00987623" w:rsidP="00032C44">
      <w:pPr>
        <w:numPr>
          <w:ilvl w:val="0"/>
          <w:numId w:val="12"/>
        </w:numPr>
        <w:spacing w:after="0" w:line="240" w:lineRule="auto"/>
      </w:pPr>
      <w:r w:rsidRPr="00987623">
        <w:t>Commonly treated lesions: Proximal RCA, Obtuse Marginal, Mid RCA.</w:t>
      </w:r>
    </w:p>
    <w:p w14:paraId="4EC3CBBD" w14:textId="6D54E1A9" w:rsidR="00987623" w:rsidRPr="00987623" w:rsidRDefault="00987623" w:rsidP="00032C44">
      <w:pPr>
        <w:numPr>
          <w:ilvl w:val="0"/>
          <w:numId w:val="12"/>
        </w:numPr>
        <w:spacing w:after="0" w:line="240" w:lineRule="auto"/>
      </w:pPr>
      <w:r w:rsidRPr="00987623">
        <w:t>Reviewer feedback covered:</w:t>
      </w:r>
    </w:p>
    <w:p w14:paraId="486BEDAC" w14:textId="77777777" w:rsidR="00987623" w:rsidRPr="00987623" w:rsidRDefault="00987623" w:rsidP="00032C44">
      <w:pPr>
        <w:numPr>
          <w:ilvl w:val="1"/>
          <w:numId w:val="12"/>
        </w:numPr>
        <w:spacing w:after="0" w:line="240" w:lineRule="auto"/>
      </w:pPr>
      <w:r w:rsidRPr="00987623">
        <w:t>Stent size and length appropriateness (“adequate,” “good,” or “could be improved”)</w:t>
      </w:r>
    </w:p>
    <w:p w14:paraId="6F89BB6B" w14:textId="77777777" w:rsidR="00987623" w:rsidRPr="00987623" w:rsidRDefault="00987623" w:rsidP="00032C44">
      <w:pPr>
        <w:numPr>
          <w:ilvl w:val="1"/>
          <w:numId w:val="12"/>
        </w:numPr>
        <w:spacing w:after="0" w:line="240" w:lineRule="auto"/>
      </w:pPr>
      <w:r w:rsidRPr="00987623">
        <w:t>Guide catheter selection and final angiography technique</w:t>
      </w:r>
    </w:p>
    <w:p w14:paraId="11E7F335" w14:textId="77777777" w:rsidR="00987623" w:rsidRPr="00987623" w:rsidRDefault="00987623" w:rsidP="00032C44">
      <w:pPr>
        <w:numPr>
          <w:ilvl w:val="1"/>
          <w:numId w:val="12"/>
        </w:numPr>
        <w:spacing w:after="0" w:line="240" w:lineRule="auto"/>
      </w:pPr>
      <w:r w:rsidRPr="00987623">
        <w:t>Presence of complications (e.g., dissection, occlusion) with descriptive annotations</w:t>
      </w:r>
    </w:p>
    <w:p w14:paraId="0A69EB22" w14:textId="6C61FADE" w:rsidR="00987623" w:rsidRPr="00987623" w:rsidRDefault="00987623" w:rsidP="00032C44">
      <w:pPr>
        <w:numPr>
          <w:ilvl w:val="0"/>
          <w:numId w:val="12"/>
        </w:numPr>
        <w:spacing w:after="0" w:line="240" w:lineRule="auto"/>
      </w:pPr>
      <w:r w:rsidRPr="00987623">
        <w:t xml:space="preserve"> Examples of Reviewer Comments:</w:t>
      </w:r>
    </w:p>
    <w:p w14:paraId="1C6E37A4" w14:textId="77777777" w:rsidR="00987623" w:rsidRPr="00987623" w:rsidRDefault="00987623" w:rsidP="00032C44">
      <w:pPr>
        <w:spacing w:after="0" w:line="240" w:lineRule="auto"/>
        <w:jc w:val="center"/>
        <w:rPr>
          <w:i/>
          <w:iCs/>
        </w:rPr>
      </w:pPr>
      <w:r w:rsidRPr="00987623">
        <w:rPr>
          <w:i/>
          <w:iCs/>
        </w:rPr>
        <w:t>“Planned PCI of the proximal LAD appears well-indicated.”</w:t>
      </w:r>
      <w:r w:rsidRPr="00987623">
        <w:rPr>
          <w:i/>
          <w:iCs/>
        </w:rPr>
        <w:br/>
        <w:t>“Not possible to fully assess without clinical history — recommend clinical correlation.”</w:t>
      </w:r>
      <w:r w:rsidRPr="00987623">
        <w:rPr>
          <w:i/>
          <w:iCs/>
        </w:rPr>
        <w:br/>
        <w:t>“Distal RCA functionally occluded, PCI likely warranted.”</w:t>
      </w:r>
    </w:p>
    <w:p w14:paraId="4B596293" w14:textId="77777777" w:rsidR="00987623" w:rsidRPr="00987623" w:rsidRDefault="00987623" w:rsidP="00032C44">
      <w:pPr>
        <w:spacing w:after="0" w:line="240" w:lineRule="auto"/>
      </w:pPr>
      <w:r w:rsidRPr="00987623">
        <w:pict w14:anchorId="2B744075">
          <v:rect id="_x0000_i1216" style="width:0;height:1.5pt" o:hralign="center" o:hrstd="t" o:hr="t" fillcolor="#a0a0a0" stroked="f"/>
        </w:pict>
      </w:r>
    </w:p>
    <w:p w14:paraId="3F276CA1" w14:textId="77777777" w:rsidR="00987623" w:rsidRPr="00987623" w:rsidRDefault="00987623" w:rsidP="00032C44">
      <w:pPr>
        <w:pStyle w:val="Heading2"/>
      </w:pPr>
      <w:r w:rsidRPr="00987623">
        <w:t>Key Benefits</w:t>
      </w:r>
    </w:p>
    <w:p w14:paraId="667F4469" w14:textId="248DF007" w:rsidR="00987623" w:rsidRPr="00987623" w:rsidRDefault="00987623" w:rsidP="00032C44">
      <w:pPr>
        <w:numPr>
          <w:ilvl w:val="0"/>
          <w:numId w:val="13"/>
        </w:numPr>
        <w:spacing w:after="0" w:line="240" w:lineRule="auto"/>
      </w:pPr>
      <w:r w:rsidRPr="00987623">
        <w:t>Confidential and non-punitive</w:t>
      </w:r>
    </w:p>
    <w:p w14:paraId="3B706DE0" w14:textId="094FE8EC" w:rsidR="00987623" w:rsidRPr="00987623" w:rsidRDefault="00987623" w:rsidP="00032C44">
      <w:pPr>
        <w:numPr>
          <w:ilvl w:val="0"/>
          <w:numId w:val="13"/>
        </w:numPr>
        <w:spacing w:after="0" w:line="240" w:lineRule="auto"/>
      </w:pPr>
      <w:r w:rsidRPr="00987623">
        <w:t>Feedback supports M&amp;M Conferences, Cath Lab Quality meetings</w:t>
      </w:r>
    </w:p>
    <w:p w14:paraId="6333FC45" w14:textId="01A95A3A" w:rsidR="00987623" w:rsidRPr="00987623" w:rsidRDefault="00987623" w:rsidP="00032C44">
      <w:pPr>
        <w:numPr>
          <w:ilvl w:val="0"/>
          <w:numId w:val="13"/>
        </w:numPr>
        <w:spacing w:after="0" w:line="240" w:lineRule="auto"/>
      </w:pPr>
      <w:proofErr w:type="gramStart"/>
      <w:r w:rsidRPr="00987623">
        <w:t>Identifies</w:t>
      </w:r>
      <w:proofErr w:type="gramEnd"/>
      <w:r w:rsidRPr="00987623">
        <w:t xml:space="preserve"> variations and trends in decision-making</w:t>
      </w:r>
    </w:p>
    <w:p w14:paraId="5C61D15C" w14:textId="1B427DDC" w:rsidR="00987623" w:rsidRPr="00987623" w:rsidRDefault="00987623" w:rsidP="00032C44">
      <w:pPr>
        <w:numPr>
          <w:ilvl w:val="0"/>
          <w:numId w:val="13"/>
        </w:numPr>
        <w:spacing w:after="0" w:line="240" w:lineRule="auto"/>
      </w:pPr>
      <w:r w:rsidRPr="00987623">
        <w:t>Drives clinical accountability and best practice sharing</w:t>
      </w:r>
    </w:p>
    <w:p w14:paraId="2FA99EA6" w14:textId="06F08C6C" w:rsidR="00987623" w:rsidRPr="00987623" w:rsidRDefault="00987623" w:rsidP="00032C44">
      <w:pPr>
        <w:numPr>
          <w:ilvl w:val="0"/>
          <w:numId w:val="13"/>
        </w:numPr>
        <w:spacing w:after="0" w:line="240" w:lineRule="auto"/>
      </w:pPr>
      <w:r w:rsidRPr="00987623">
        <w:t>Free to all VCSQI member hospitals</w:t>
      </w:r>
    </w:p>
    <w:p w14:paraId="3EF7AC72" w14:textId="77B0F6BA" w:rsidR="00987623" w:rsidRPr="00987623" w:rsidRDefault="00987623" w:rsidP="00032C44">
      <w:pPr>
        <w:spacing w:after="0" w:line="240" w:lineRule="auto"/>
      </w:pPr>
      <w:r w:rsidRPr="00987623">
        <w:pict w14:anchorId="25D9A531">
          <v:rect id="_x0000_i1217" style="width:0;height:1.5pt" o:hralign="center" o:hrstd="t" o:hr="t" fillcolor="#a0a0a0" stroked="f"/>
        </w:pict>
      </w:r>
    </w:p>
    <w:p w14:paraId="3E9F6123" w14:textId="77777777" w:rsidR="00987623" w:rsidRPr="00987623" w:rsidRDefault="00987623" w:rsidP="00032C44">
      <w:pPr>
        <w:pStyle w:val="Heading2"/>
      </w:pPr>
      <w:r w:rsidRPr="00987623">
        <w:t>Contact</w:t>
      </w:r>
    </w:p>
    <w:p w14:paraId="5FB1904B" w14:textId="4D3AAE20" w:rsidR="0088155F" w:rsidRDefault="0088155F" w:rsidP="00032C44">
      <w:pPr>
        <w:spacing w:after="0" w:line="240" w:lineRule="auto"/>
      </w:pPr>
      <w:r w:rsidRPr="00987623">
        <w:t>info@vcsqi.org</w:t>
      </w:r>
      <w:r>
        <w:t xml:space="preserve">   |  </w:t>
      </w:r>
      <w:proofErr w:type="gramStart"/>
      <w:r>
        <w:t xml:space="preserve">   </w:t>
      </w:r>
      <w:r w:rsidR="00987623" w:rsidRPr="00987623">
        <w:t>(</w:t>
      </w:r>
      <w:proofErr w:type="gramEnd"/>
      <w:r w:rsidR="00987623" w:rsidRPr="00987623">
        <w:t>913) 909-3140</w:t>
      </w:r>
      <w:r>
        <w:t xml:space="preserve">     |     </w:t>
      </w:r>
      <w:r w:rsidR="00987623" w:rsidRPr="00987623">
        <w:t>www.vcsqi.org/films</w:t>
      </w:r>
      <w:r>
        <w:t xml:space="preserve">       </w:t>
      </w:r>
    </w:p>
    <w:p w14:paraId="7DE3D1DD" w14:textId="77777777" w:rsidR="0088155F" w:rsidRDefault="0088155F" w:rsidP="00032C44">
      <w:pPr>
        <w:spacing w:after="0" w:line="240" w:lineRule="auto"/>
      </w:pPr>
    </w:p>
    <w:p w14:paraId="5D7ECA63" w14:textId="5B05859D" w:rsidR="00987623" w:rsidRPr="00032C44" w:rsidRDefault="00987623" w:rsidP="00032C44">
      <w:pPr>
        <w:spacing w:after="0" w:line="240" w:lineRule="auto"/>
      </w:pPr>
      <w:r w:rsidRPr="00987623">
        <w:t>Program Lead:</w:t>
      </w:r>
      <w:r w:rsidR="00032C44" w:rsidRPr="00032C44">
        <w:t xml:space="preserve"> </w:t>
      </w:r>
      <w:r w:rsidRPr="00987623">
        <w:t>Sherri White, MSPOD</w:t>
      </w:r>
      <w:r w:rsidRPr="00987623">
        <w:br/>
        <w:t>Chief, Quality and Operations</w:t>
      </w:r>
      <w:r w:rsidRPr="00987623">
        <w:br/>
        <w:t>(804) 495-1080</w:t>
      </w:r>
    </w:p>
    <w:sectPr w:rsidR="00987623" w:rsidRPr="00032C44" w:rsidSect="0088155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E0D23" w14:textId="77777777" w:rsidR="00085D4A" w:rsidRDefault="00085D4A" w:rsidP="00032C44">
      <w:pPr>
        <w:spacing w:after="0" w:line="240" w:lineRule="auto"/>
      </w:pPr>
      <w:r>
        <w:separator/>
      </w:r>
    </w:p>
  </w:endnote>
  <w:endnote w:type="continuationSeparator" w:id="0">
    <w:p w14:paraId="289A3C0F" w14:textId="77777777" w:rsidR="00085D4A" w:rsidRDefault="00085D4A" w:rsidP="0003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656D9" w14:textId="77777777" w:rsidR="00085D4A" w:rsidRDefault="00085D4A" w:rsidP="00032C44">
      <w:pPr>
        <w:spacing w:after="0" w:line="240" w:lineRule="auto"/>
      </w:pPr>
      <w:r>
        <w:separator/>
      </w:r>
    </w:p>
  </w:footnote>
  <w:footnote w:type="continuationSeparator" w:id="0">
    <w:p w14:paraId="671A2A1F" w14:textId="77777777" w:rsidR="00085D4A" w:rsidRDefault="00085D4A" w:rsidP="0003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FA369" w14:textId="3367318F" w:rsidR="00032C44" w:rsidRDefault="00032C4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E508BA" wp14:editId="117B81CA">
          <wp:simplePos x="0" y="0"/>
          <wp:positionH relativeFrom="page">
            <wp:posOffset>-90832</wp:posOffset>
          </wp:positionH>
          <wp:positionV relativeFrom="paragraph">
            <wp:posOffset>-541476</wp:posOffset>
          </wp:positionV>
          <wp:extent cx="7890510" cy="1775460"/>
          <wp:effectExtent l="0" t="0" r="0" b="0"/>
          <wp:wrapSquare wrapText="bothSides"/>
          <wp:docPr id="2005132802" name="Picture 7" descr="A red line i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132802" name="Picture 7" descr="A red line in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703"/>
                  <a:stretch/>
                </pic:blipFill>
                <pic:spPr bwMode="auto">
                  <a:xfrm>
                    <a:off x="0" y="0"/>
                    <a:ext cx="7890510" cy="1775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0A7A"/>
    <w:multiLevelType w:val="multilevel"/>
    <w:tmpl w:val="37C6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7365E"/>
    <w:multiLevelType w:val="multilevel"/>
    <w:tmpl w:val="C490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93702"/>
    <w:multiLevelType w:val="multilevel"/>
    <w:tmpl w:val="1FE6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6318A"/>
    <w:multiLevelType w:val="multilevel"/>
    <w:tmpl w:val="8886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F4AAC"/>
    <w:multiLevelType w:val="multilevel"/>
    <w:tmpl w:val="FF5C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507AB"/>
    <w:multiLevelType w:val="multilevel"/>
    <w:tmpl w:val="C49E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8A1F96"/>
    <w:multiLevelType w:val="multilevel"/>
    <w:tmpl w:val="F14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292027"/>
    <w:multiLevelType w:val="multilevel"/>
    <w:tmpl w:val="5BD6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F26F9D"/>
    <w:multiLevelType w:val="multilevel"/>
    <w:tmpl w:val="61D6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218F0"/>
    <w:multiLevelType w:val="multilevel"/>
    <w:tmpl w:val="DC8A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F5AB6"/>
    <w:multiLevelType w:val="multilevel"/>
    <w:tmpl w:val="6924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C354B5"/>
    <w:multiLevelType w:val="multilevel"/>
    <w:tmpl w:val="D7D6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B74629"/>
    <w:multiLevelType w:val="multilevel"/>
    <w:tmpl w:val="A0D6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6A2917"/>
    <w:multiLevelType w:val="multilevel"/>
    <w:tmpl w:val="2CD2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6326447">
    <w:abstractNumId w:val="3"/>
  </w:num>
  <w:num w:numId="2" w16cid:durableId="180317363">
    <w:abstractNumId w:val="6"/>
  </w:num>
  <w:num w:numId="3" w16cid:durableId="1956398842">
    <w:abstractNumId w:val="11"/>
  </w:num>
  <w:num w:numId="4" w16cid:durableId="1007904538">
    <w:abstractNumId w:val="4"/>
  </w:num>
  <w:num w:numId="5" w16cid:durableId="1427194891">
    <w:abstractNumId w:val="0"/>
  </w:num>
  <w:num w:numId="6" w16cid:durableId="291787542">
    <w:abstractNumId w:val="12"/>
  </w:num>
  <w:num w:numId="7" w16cid:durableId="1700815307">
    <w:abstractNumId w:val="7"/>
  </w:num>
  <w:num w:numId="8" w16cid:durableId="256257898">
    <w:abstractNumId w:val="13"/>
  </w:num>
  <w:num w:numId="9" w16cid:durableId="1324896179">
    <w:abstractNumId w:val="5"/>
  </w:num>
  <w:num w:numId="10" w16cid:durableId="1156191159">
    <w:abstractNumId w:val="9"/>
  </w:num>
  <w:num w:numId="11" w16cid:durableId="134496542">
    <w:abstractNumId w:val="2"/>
  </w:num>
  <w:num w:numId="12" w16cid:durableId="1735004513">
    <w:abstractNumId w:val="8"/>
  </w:num>
  <w:num w:numId="13" w16cid:durableId="977761454">
    <w:abstractNumId w:val="10"/>
  </w:num>
  <w:num w:numId="14" w16cid:durableId="1681616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23"/>
    <w:rsid w:val="00032C44"/>
    <w:rsid w:val="00085D4A"/>
    <w:rsid w:val="006E0B71"/>
    <w:rsid w:val="0088155F"/>
    <w:rsid w:val="008C4F93"/>
    <w:rsid w:val="0098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2B5A"/>
  <w15:chartTrackingRefBased/>
  <w15:docId w15:val="{E9ECC7EF-4C44-44FA-B545-AF0A647E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55F"/>
    <w:rPr>
      <w:rFonts w:asciiTheme="majorHAnsi" w:eastAsiaTheme="majorEastAsia" w:hAnsiTheme="majorHAnsi" w:cstheme="majorBidi"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815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6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6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6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6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6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6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6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6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6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6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6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76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6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C44"/>
  </w:style>
  <w:style w:type="paragraph" w:styleId="Footer">
    <w:name w:val="footer"/>
    <w:basedOn w:val="Normal"/>
    <w:link w:val="FooterChar"/>
    <w:uiPriority w:val="99"/>
    <w:unhideWhenUsed/>
    <w:rsid w:val="0003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395</Words>
  <Characters>2341</Characters>
  <Application>Microsoft Office Word</Application>
  <DocSecurity>0</DocSecurity>
  <Lines>53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White</dc:creator>
  <cp:keywords/>
  <dc:description/>
  <cp:lastModifiedBy>Sherri White</cp:lastModifiedBy>
  <cp:revision>1</cp:revision>
  <dcterms:created xsi:type="dcterms:W3CDTF">2025-08-01T15:44:00Z</dcterms:created>
  <dcterms:modified xsi:type="dcterms:W3CDTF">2025-08-02T22:23:00Z</dcterms:modified>
</cp:coreProperties>
</file>